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5e78c1951f4cb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8E" w:rsidRDefault="00F11F8E" w:rsidP="00F11F8E"/>
    <w:p w:rsidR="00F11F8E" w:rsidRDefault="00F11F8E" w:rsidP="00F11F8E">
      <w:pPr>
        <w:rPr>
          <w:b/>
        </w:rPr>
      </w:pPr>
      <w:r>
        <w:rPr>
          <w:b/>
        </w:rPr>
        <w:t>Summary of Comments received</w:t>
      </w:r>
    </w:p>
    <w:p w:rsidR="00F11F8E" w:rsidRPr="00EE2344" w:rsidRDefault="00F11F8E" w:rsidP="00F11F8E">
      <w:pPr>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74"/>
      </w:tblGrid>
      <w:tr w:rsidR="00F11F8E" w:rsidRPr="00CF0693" w:rsidTr="0003062E">
        <w:tc>
          <w:tcPr>
            <w:tcW w:w="1668" w:type="dxa"/>
            <w:shd w:val="clear" w:color="auto" w:fill="auto"/>
          </w:tcPr>
          <w:p w:rsidR="00F11F8E" w:rsidRPr="00CF0693" w:rsidRDefault="00F11F8E" w:rsidP="0003062E">
            <w:pPr>
              <w:spacing w:before="100" w:beforeAutospacing="1" w:after="100" w:afterAutospacing="1"/>
              <w:rPr>
                <w:rFonts w:eastAsia="Calibri" w:cs="Arial"/>
                <w:b/>
                <w:sz w:val="20"/>
                <w:szCs w:val="20"/>
                <w:lang w:eastAsia="en-GB"/>
              </w:rPr>
            </w:pPr>
            <w:r w:rsidRPr="00CF0693">
              <w:rPr>
                <w:rFonts w:eastAsia="Calibri" w:cs="Arial"/>
                <w:b/>
                <w:sz w:val="20"/>
                <w:szCs w:val="20"/>
                <w:lang w:eastAsia="en-GB"/>
              </w:rPr>
              <w:t>Respondent</w:t>
            </w:r>
          </w:p>
        </w:tc>
        <w:tc>
          <w:tcPr>
            <w:tcW w:w="7574" w:type="dxa"/>
            <w:shd w:val="clear" w:color="auto" w:fill="auto"/>
          </w:tcPr>
          <w:p w:rsidR="00F11F8E" w:rsidRPr="00CF0693" w:rsidRDefault="00F11F8E" w:rsidP="0003062E">
            <w:pPr>
              <w:spacing w:before="100" w:beforeAutospacing="1" w:after="100" w:afterAutospacing="1"/>
              <w:rPr>
                <w:rFonts w:eastAsia="Calibri" w:cs="Arial"/>
                <w:b/>
                <w:sz w:val="20"/>
                <w:szCs w:val="20"/>
                <w:lang w:eastAsia="en-GB"/>
              </w:rPr>
            </w:pPr>
            <w:r w:rsidRPr="00CF0693">
              <w:rPr>
                <w:rFonts w:eastAsia="Calibri" w:cs="Arial"/>
                <w:b/>
                <w:sz w:val="20"/>
                <w:szCs w:val="20"/>
                <w:lang w:eastAsia="en-GB"/>
              </w:rPr>
              <w:t>Summary of Comment</w:t>
            </w:r>
          </w:p>
        </w:tc>
      </w:tr>
      <w:tr w:rsidR="00F11F8E" w:rsidRPr="00CF0693" w:rsidTr="0003062E">
        <w:tc>
          <w:tcPr>
            <w:tcW w:w="9242" w:type="dxa"/>
            <w:gridSpan w:val="2"/>
            <w:shd w:val="clear" w:color="auto" w:fill="auto"/>
          </w:tcPr>
          <w:p w:rsidR="00F11F8E" w:rsidRPr="003A0392" w:rsidRDefault="00F11F8E" w:rsidP="0003062E">
            <w:pPr>
              <w:rPr>
                <w:rFonts w:eastAsia="Calibri" w:cs="Arial"/>
                <w:b/>
                <w:sz w:val="20"/>
                <w:szCs w:val="20"/>
              </w:rPr>
            </w:pPr>
            <w:r w:rsidRPr="003A0392">
              <w:rPr>
                <w:rFonts w:eastAsia="Calibri" w:cs="Arial"/>
                <w:b/>
                <w:sz w:val="20"/>
                <w:szCs w:val="20"/>
                <w:lang w:eastAsia="en-GB"/>
              </w:rPr>
              <w:t>Objections to the area- suggestions for extra inclusions</w:t>
            </w:r>
          </w:p>
        </w:tc>
      </w:tr>
      <w:tr w:rsidR="00F11F8E" w:rsidRPr="00CF0693" w:rsidTr="0003062E">
        <w:tc>
          <w:tcPr>
            <w:tcW w:w="1668" w:type="dxa"/>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 xml:space="preserve">Cllr </w:t>
            </w:r>
            <w:r w:rsidRPr="00CF0693">
              <w:rPr>
                <w:rFonts w:eastAsia="Calibri" w:cs="Arial"/>
                <w:sz w:val="20"/>
                <w:szCs w:val="20"/>
                <w:lang w:eastAsia="en-GB"/>
              </w:rPr>
              <w:t xml:space="preserve">Katharine </w:t>
            </w:r>
            <w:proofErr w:type="spellStart"/>
            <w:r w:rsidRPr="00CF0693">
              <w:rPr>
                <w:rFonts w:eastAsia="Calibri" w:cs="Arial"/>
                <w:sz w:val="20"/>
                <w:szCs w:val="20"/>
                <w:lang w:eastAsia="en-GB"/>
              </w:rPr>
              <w:t>Harborne</w:t>
            </w:r>
            <w:proofErr w:type="spellEnd"/>
            <w:r>
              <w:rPr>
                <w:rFonts w:eastAsia="Calibri" w:cs="Arial"/>
                <w:sz w:val="20"/>
                <w:szCs w:val="20"/>
                <w:lang w:eastAsia="en-GB"/>
              </w:rPr>
              <w:t xml:space="preserve"> 5 local residents</w:t>
            </w:r>
          </w:p>
        </w:tc>
        <w:tc>
          <w:tcPr>
            <w:tcW w:w="7574" w:type="dxa"/>
            <w:shd w:val="clear" w:color="auto" w:fill="auto"/>
          </w:tcPr>
          <w:p w:rsidR="00F11F8E" w:rsidRDefault="00F11F8E" w:rsidP="0003062E">
            <w:pPr>
              <w:rPr>
                <w:rFonts w:eastAsia="Calibri" w:cs="Arial"/>
                <w:sz w:val="20"/>
                <w:szCs w:val="20"/>
              </w:rPr>
            </w:pPr>
            <w:r>
              <w:rPr>
                <w:rFonts w:eastAsia="Calibri" w:cs="Arial"/>
                <w:sz w:val="20"/>
                <w:szCs w:val="20"/>
              </w:rPr>
              <w:t xml:space="preserve">Several respondents suggested the </w:t>
            </w:r>
            <w:r w:rsidRPr="00584E1C">
              <w:rPr>
                <w:rFonts w:eastAsia="Calibri" w:cs="Arial"/>
                <w:sz w:val="20"/>
                <w:szCs w:val="20"/>
              </w:rPr>
              <w:t>triangular area of land to the north o</w:t>
            </w:r>
            <w:r>
              <w:rPr>
                <w:rFonts w:eastAsia="Calibri" w:cs="Arial"/>
                <w:sz w:val="20"/>
                <w:szCs w:val="20"/>
              </w:rPr>
              <w:t xml:space="preserve">f Old Road and </w:t>
            </w:r>
            <w:r w:rsidRPr="00584E1C">
              <w:rPr>
                <w:rFonts w:eastAsia="Calibri" w:cs="Arial"/>
                <w:sz w:val="20"/>
                <w:szCs w:val="20"/>
              </w:rPr>
              <w:t>close to the ring-road (</w:t>
            </w:r>
            <w:r>
              <w:rPr>
                <w:rFonts w:eastAsia="Calibri" w:cs="Arial"/>
                <w:sz w:val="20"/>
                <w:szCs w:val="20"/>
              </w:rPr>
              <w:t>that includes</w:t>
            </w:r>
            <w:r w:rsidRPr="006171BF">
              <w:rPr>
                <w:rFonts w:eastAsia="Calibri" w:cs="Arial"/>
                <w:sz w:val="20"/>
                <w:szCs w:val="20"/>
              </w:rPr>
              <w:t xml:space="preserve"> the </w:t>
            </w:r>
            <w:proofErr w:type="spellStart"/>
            <w:r w:rsidRPr="006171BF">
              <w:rPr>
                <w:rFonts w:eastAsia="Calibri" w:cs="Arial"/>
                <w:sz w:val="20"/>
                <w:szCs w:val="20"/>
              </w:rPr>
              <w:t>Stansfeld</w:t>
            </w:r>
            <w:proofErr w:type="spellEnd"/>
            <w:r w:rsidRPr="006171BF">
              <w:rPr>
                <w:rFonts w:eastAsia="Calibri" w:cs="Arial"/>
                <w:sz w:val="20"/>
                <w:szCs w:val="20"/>
              </w:rPr>
              <w:t xml:space="preserve"> educational centre</w:t>
            </w:r>
            <w:r>
              <w:rPr>
                <w:rFonts w:eastAsia="Calibri" w:cs="Arial"/>
                <w:sz w:val="20"/>
                <w:szCs w:val="20"/>
              </w:rPr>
              <w:t>,</w:t>
            </w:r>
            <w:r w:rsidRPr="00584E1C">
              <w:rPr>
                <w:rFonts w:eastAsia="Calibri" w:cs="Arial"/>
                <w:sz w:val="20"/>
                <w:szCs w:val="20"/>
              </w:rPr>
              <w:t xml:space="preserve"> Douglas </w:t>
            </w:r>
            <w:proofErr w:type="spellStart"/>
            <w:r w:rsidRPr="00584E1C">
              <w:rPr>
                <w:rFonts w:eastAsia="Calibri" w:cs="Arial"/>
                <w:sz w:val="20"/>
                <w:szCs w:val="20"/>
              </w:rPr>
              <w:t>Downes</w:t>
            </w:r>
            <w:proofErr w:type="spellEnd"/>
            <w:r w:rsidRPr="00584E1C">
              <w:rPr>
                <w:rFonts w:eastAsia="Calibri" w:cs="Arial"/>
                <w:sz w:val="20"/>
                <w:szCs w:val="20"/>
              </w:rPr>
              <w:t xml:space="preserve"> Close, Dorchester Close and </w:t>
            </w:r>
            <w:proofErr w:type="spellStart"/>
            <w:r w:rsidRPr="006171BF">
              <w:rPr>
                <w:rFonts w:eastAsia="Calibri" w:cs="Arial"/>
                <w:sz w:val="20"/>
                <w:szCs w:val="20"/>
              </w:rPr>
              <w:t>Stansfield</w:t>
            </w:r>
            <w:proofErr w:type="spellEnd"/>
            <w:r w:rsidRPr="006171BF">
              <w:rPr>
                <w:rFonts w:eastAsia="Calibri" w:cs="Arial"/>
                <w:sz w:val="20"/>
                <w:szCs w:val="20"/>
              </w:rPr>
              <w:t xml:space="preserve"> Close) should be included in the neighbourhood area. </w:t>
            </w:r>
            <w:proofErr w:type="spellStart"/>
            <w:r>
              <w:rPr>
                <w:rFonts w:eastAsia="Calibri" w:cs="Arial"/>
                <w:sz w:val="20"/>
                <w:szCs w:val="20"/>
              </w:rPr>
              <w:t>Stansfeld</w:t>
            </w:r>
            <w:proofErr w:type="spellEnd"/>
            <w:r>
              <w:rPr>
                <w:rFonts w:eastAsia="Calibri" w:cs="Arial"/>
                <w:sz w:val="20"/>
                <w:szCs w:val="20"/>
              </w:rPr>
              <w:t xml:space="preserve"> Outdoor Education Centre</w:t>
            </w:r>
            <w:r w:rsidRPr="006171BF">
              <w:rPr>
                <w:rFonts w:eastAsia="Calibri" w:cs="Arial"/>
                <w:sz w:val="20"/>
                <w:szCs w:val="20"/>
              </w:rPr>
              <w:t xml:space="preserve"> is </w:t>
            </w:r>
            <w:r>
              <w:rPr>
                <w:rFonts w:eastAsia="Calibri" w:cs="Arial"/>
                <w:sz w:val="20"/>
                <w:szCs w:val="20"/>
              </w:rPr>
              <w:t xml:space="preserve">up for sale by </w:t>
            </w:r>
            <w:proofErr w:type="spellStart"/>
            <w:r>
              <w:rPr>
                <w:rFonts w:eastAsia="Calibri" w:cs="Arial"/>
                <w:sz w:val="20"/>
                <w:szCs w:val="20"/>
              </w:rPr>
              <w:t>Brimingham</w:t>
            </w:r>
            <w:proofErr w:type="spellEnd"/>
            <w:r>
              <w:rPr>
                <w:rFonts w:eastAsia="Calibri" w:cs="Arial"/>
                <w:sz w:val="20"/>
                <w:szCs w:val="20"/>
              </w:rPr>
              <w:t xml:space="preserve"> City C</w:t>
            </w:r>
            <w:r w:rsidRPr="006171BF">
              <w:rPr>
                <w:rFonts w:eastAsia="Calibri" w:cs="Arial"/>
                <w:sz w:val="20"/>
                <w:szCs w:val="20"/>
              </w:rPr>
              <w:t xml:space="preserve">ouncil and residents are concerned about the site being sold off to property developers.  They feel that including it in the plan will ensure that residents have much more of a say on what developments are permitted here if the land is sold off. One respondent said they feel the area seems part of the historic </w:t>
            </w:r>
            <w:proofErr w:type="spellStart"/>
            <w:r w:rsidRPr="006171BF">
              <w:rPr>
                <w:rFonts w:eastAsia="Calibri" w:cs="Arial"/>
                <w:sz w:val="20"/>
                <w:szCs w:val="20"/>
              </w:rPr>
              <w:t>Headington</w:t>
            </w:r>
            <w:proofErr w:type="spellEnd"/>
            <w:r w:rsidRPr="006171BF">
              <w:rPr>
                <w:rFonts w:eastAsia="Calibri" w:cs="Arial"/>
                <w:sz w:val="20"/>
                <w:szCs w:val="20"/>
              </w:rPr>
              <w:t xml:space="preserve"> Quarry area and is unified with the rest of </w:t>
            </w:r>
            <w:proofErr w:type="spellStart"/>
            <w:r w:rsidRPr="006171BF">
              <w:rPr>
                <w:rFonts w:eastAsia="Calibri" w:cs="Arial"/>
                <w:sz w:val="20"/>
                <w:szCs w:val="20"/>
              </w:rPr>
              <w:t>Headington</w:t>
            </w:r>
            <w:proofErr w:type="spellEnd"/>
            <w:r w:rsidRPr="006171BF">
              <w:rPr>
                <w:rFonts w:eastAsia="Calibri" w:cs="Arial"/>
                <w:sz w:val="20"/>
                <w:szCs w:val="20"/>
              </w:rPr>
              <w:t xml:space="preserve"> by Quarry Road.</w:t>
            </w:r>
          </w:p>
          <w:p w:rsidR="00F11F8E" w:rsidRPr="00CF0693" w:rsidRDefault="00F11F8E" w:rsidP="0003062E">
            <w:pPr>
              <w:rPr>
                <w:rFonts w:eastAsia="Calibri" w:cs="Arial"/>
                <w:sz w:val="20"/>
                <w:szCs w:val="20"/>
              </w:rPr>
            </w:pPr>
            <w:r w:rsidRPr="00584E1C">
              <w:rPr>
                <w:rFonts w:eastAsia="Calibri" w:cs="Arial"/>
                <w:sz w:val="20"/>
                <w:szCs w:val="20"/>
              </w:rPr>
              <w:t xml:space="preserve">  </w:t>
            </w:r>
          </w:p>
        </w:tc>
      </w:tr>
      <w:tr w:rsidR="00F11F8E" w:rsidRPr="00CF0693" w:rsidTr="0003062E">
        <w:tc>
          <w:tcPr>
            <w:tcW w:w="1668" w:type="dxa"/>
            <w:tcBorders>
              <w:top w:val="single" w:sz="4" w:space="0" w:color="auto"/>
              <w:left w:val="single" w:sz="4" w:space="0" w:color="auto"/>
              <w:bottom w:val="single" w:sz="4" w:space="0" w:color="auto"/>
              <w:right w:val="single" w:sz="4" w:space="0" w:color="auto"/>
            </w:tcBorders>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2 local residents</w:t>
            </w:r>
          </w:p>
        </w:tc>
        <w:tc>
          <w:tcPr>
            <w:tcW w:w="7574" w:type="dxa"/>
            <w:tcBorders>
              <w:top w:val="single" w:sz="4" w:space="0" w:color="auto"/>
              <w:left w:val="single" w:sz="4" w:space="0" w:color="auto"/>
              <w:bottom w:val="single" w:sz="4" w:space="0" w:color="auto"/>
              <w:right w:val="single" w:sz="4" w:space="0" w:color="auto"/>
            </w:tcBorders>
            <w:shd w:val="clear" w:color="auto" w:fill="auto"/>
          </w:tcPr>
          <w:p w:rsidR="00F11F8E" w:rsidRDefault="00F11F8E" w:rsidP="0003062E">
            <w:pPr>
              <w:rPr>
                <w:rFonts w:eastAsia="Calibri" w:cs="Arial"/>
                <w:sz w:val="20"/>
                <w:szCs w:val="20"/>
              </w:rPr>
            </w:pPr>
            <w:r>
              <w:rPr>
                <w:rFonts w:eastAsia="Calibri" w:cs="Arial"/>
                <w:sz w:val="20"/>
                <w:szCs w:val="20"/>
              </w:rPr>
              <w:t xml:space="preserve">A few respondents were concerned that Wood Farm, or part of Wood Farm, is excluded from the neighbourhood area. The respondents believe Wood Farm to be part of </w:t>
            </w:r>
            <w:proofErr w:type="spellStart"/>
            <w:r>
              <w:rPr>
                <w:rFonts w:eastAsia="Calibri" w:cs="Arial"/>
                <w:sz w:val="20"/>
                <w:szCs w:val="20"/>
              </w:rPr>
              <w:t>Headington</w:t>
            </w:r>
            <w:proofErr w:type="spellEnd"/>
            <w:r>
              <w:rPr>
                <w:rFonts w:eastAsia="Calibri" w:cs="Arial"/>
                <w:sz w:val="20"/>
                <w:szCs w:val="20"/>
              </w:rPr>
              <w:t xml:space="preserve">. They had heard different things about whether the existence of a regeneration area designation for Wood Farm would conflict with a neighbourhood plan and therefore was a reason to exclude the area. </w:t>
            </w:r>
          </w:p>
          <w:p w:rsidR="00F11F8E" w:rsidRPr="00584E1C" w:rsidRDefault="00F11F8E" w:rsidP="0003062E">
            <w:pPr>
              <w:rPr>
                <w:rFonts w:eastAsia="Calibri" w:cs="Arial"/>
                <w:sz w:val="20"/>
                <w:szCs w:val="20"/>
              </w:rPr>
            </w:pPr>
          </w:p>
        </w:tc>
      </w:tr>
      <w:tr w:rsidR="00F11F8E" w:rsidRPr="00CF0693" w:rsidTr="0003062E">
        <w:tc>
          <w:tcPr>
            <w:tcW w:w="1668" w:type="dxa"/>
            <w:tcBorders>
              <w:top w:val="single" w:sz="4" w:space="0" w:color="auto"/>
              <w:left w:val="single" w:sz="4" w:space="0" w:color="auto"/>
              <w:bottom w:val="single" w:sz="4" w:space="0" w:color="auto"/>
              <w:right w:val="single" w:sz="4" w:space="0" w:color="auto"/>
            </w:tcBorders>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Local resident</w:t>
            </w:r>
          </w:p>
        </w:tc>
        <w:tc>
          <w:tcPr>
            <w:tcW w:w="7574" w:type="dxa"/>
            <w:tcBorders>
              <w:top w:val="single" w:sz="4" w:space="0" w:color="auto"/>
              <w:left w:val="single" w:sz="4" w:space="0" w:color="auto"/>
              <w:bottom w:val="single" w:sz="4" w:space="0" w:color="auto"/>
              <w:right w:val="single" w:sz="4" w:space="0" w:color="auto"/>
            </w:tcBorders>
            <w:shd w:val="clear" w:color="auto" w:fill="auto"/>
          </w:tcPr>
          <w:p w:rsidR="00F11F8E" w:rsidRDefault="00F11F8E" w:rsidP="0003062E">
            <w:pPr>
              <w:rPr>
                <w:rFonts w:eastAsia="Calibri" w:cs="Arial"/>
                <w:sz w:val="20"/>
                <w:szCs w:val="20"/>
              </w:rPr>
            </w:pPr>
            <w:r>
              <w:rPr>
                <w:rFonts w:eastAsia="Calibri" w:cs="Arial"/>
                <w:sz w:val="20"/>
                <w:szCs w:val="20"/>
              </w:rPr>
              <w:t xml:space="preserve">One respondent </w:t>
            </w:r>
            <w:r w:rsidRPr="00584E1C">
              <w:rPr>
                <w:rFonts w:eastAsia="Calibri" w:cs="Arial"/>
                <w:sz w:val="20"/>
                <w:szCs w:val="20"/>
              </w:rPr>
              <w:t xml:space="preserve">noted that </w:t>
            </w:r>
            <w:r>
              <w:rPr>
                <w:rFonts w:eastAsia="Calibri" w:cs="Arial"/>
                <w:sz w:val="20"/>
                <w:szCs w:val="20"/>
              </w:rPr>
              <w:t>the part of</w:t>
            </w:r>
            <w:r w:rsidRPr="00584E1C">
              <w:rPr>
                <w:rFonts w:eastAsia="Calibri" w:cs="Arial"/>
                <w:sz w:val="20"/>
                <w:szCs w:val="20"/>
              </w:rPr>
              <w:t xml:space="preserve"> Old </w:t>
            </w:r>
            <w:proofErr w:type="spellStart"/>
            <w:r w:rsidRPr="00584E1C">
              <w:rPr>
                <w:rFonts w:eastAsia="Calibri" w:cs="Arial"/>
                <w:sz w:val="20"/>
                <w:szCs w:val="20"/>
              </w:rPr>
              <w:t>Headington</w:t>
            </w:r>
            <w:proofErr w:type="spellEnd"/>
            <w:r w:rsidRPr="00584E1C">
              <w:rPr>
                <w:rFonts w:eastAsia="Calibri" w:cs="Arial"/>
                <w:sz w:val="20"/>
                <w:szCs w:val="20"/>
              </w:rPr>
              <w:t xml:space="preserve"> Conservation area </w:t>
            </w:r>
            <w:r>
              <w:rPr>
                <w:rFonts w:eastAsia="Calibri" w:cs="Arial"/>
                <w:sz w:val="20"/>
                <w:szCs w:val="20"/>
              </w:rPr>
              <w:t>close to the boundary with Northway is not included in the proposed neighbourhood area</w:t>
            </w:r>
            <w:r w:rsidRPr="00584E1C">
              <w:rPr>
                <w:rFonts w:eastAsia="Calibri" w:cs="Arial"/>
                <w:sz w:val="20"/>
                <w:szCs w:val="20"/>
              </w:rPr>
              <w:t xml:space="preserve">. </w:t>
            </w:r>
            <w:r>
              <w:rPr>
                <w:rFonts w:eastAsia="Calibri" w:cs="Arial"/>
                <w:sz w:val="20"/>
                <w:szCs w:val="20"/>
              </w:rPr>
              <w:t>There was concern this</w:t>
            </w:r>
            <w:r w:rsidRPr="00584E1C">
              <w:rPr>
                <w:rFonts w:eastAsia="Calibri" w:cs="Arial"/>
                <w:sz w:val="20"/>
                <w:szCs w:val="20"/>
              </w:rPr>
              <w:t xml:space="preserve"> could cause admin issues in the future.  </w:t>
            </w:r>
            <w:r>
              <w:rPr>
                <w:rFonts w:eastAsia="Calibri" w:cs="Arial"/>
                <w:sz w:val="20"/>
                <w:szCs w:val="20"/>
              </w:rPr>
              <w:t xml:space="preserve">Another respondent largely in support of the plan wondered whether Dunstan Park could be included in the boundary. </w:t>
            </w:r>
            <w:r w:rsidRPr="00DD2120">
              <w:rPr>
                <w:rFonts w:eastAsia="Calibri" w:cs="Arial"/>
                <w:sz w:val="20"/>
                <w:szCs w:val="20"/>
              </w:rPr>
              <w:t xml:space="preserve"> </w:t>
            </w:r>
          </w:p>
          <w:p w:rsidR="00F11F8E" w:rsidRPr="00DD2120" w:rsidRDefault="00F11F8E" w:rsidP="0003062E">
            <w:pPr>
              <w:rPr>
                <w:rFonts w:eastAsia="Calibri" w:cs="Arial"/>
                <w:sz w:val="20"/>
                <w:szCs w:val="20"/>
              </w:rPr>
            </w:pPr>
          </w:p>
        </w:tc>
      </w:tr>
      <w:tr w:rsidR="00F11F8E" w:rsidRPr="00CF0693" w:rsidTr="0003062E">
        <w:tc>
          <w:tcPr>
            <w:tcW w:w="1668" w:type="dxa"/>
            <w:tcBorders>
              <w:top w:val="single" w:sz="4" w:space="0" w:color="auto"/>
              <w:left w:val="single" w:sz="4" w:space="0" w:color="auto"/>
              <w:bottom w:val="single" w:sz="4" w:space="0" w:color="auto"/>
              <w:right w:val="single" w:sz="4" w:space="0" w:color="auto"/>
            </w:tcBorders>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Local resident</w:t>
            </w:r>
          </w:p>
        </w:tc>
        <w:tc>
          <w:tcPr>
            <w:tcW w:w="7574" w:type="dxa"/>
            <w:tcBorders>
              <w:top w:val="single" w:sz="4" w:space="0" w:color="auto"/>
              <w:left w:val="single" w:sz="4" w:space="0" w:color="auto"/>
              <w:bottom w:val="single" w:sz="4" w:space="0" w:color="auto"/>
              <w:right w:val="single" w:sz="4" w:space="0" w:color="auto"/>
            </w:tcBorders>
            <w:shd w:val="clear" w:color="auto" w:fill="auto"/>
          </w:tcPr>
          <w:p w:rsidR="00F11F8E" w:rsidRDefault="00F11F8E" w:rsidP="0003062E">
            <w:pPr>
              <w:rPr>
                <w:rFonts w:eastAsia="Calibri" w:cs="Arial"/>
                <w:sz w:val="20"/>
                <w:szCs w:val="20"/>
              </w:rPr>
            </w:pPr>
            <w:r>
              <w:rPr>
                <w:rFonts w:eastAsia="Calibri" w:cs="Arial"/>
                <w:sz w:val="20"/>
                <w:szCs w:val="20"/>
              </w:rPr>
              <w:t>This respondent appreciates the difficulty of defining the area, but feels there are areas missed out and also areas included that shouldn’t be included</w:t>
            </w:r>
            <w:r w:rsidRPr="00584E1C">
              <w:rPr>
                <w:rFonts w:eastAsia="Calibri" w:cs="Arial"/>
                <w:sz w:val="20"/>
                <w:szCs w:val="20"/>
              </w:rPr>
              <w:t>. </w:t>
            </w:r>
          </w:p>
          <w:p w:rsidR="00F11F8E" w:rsidRPr="00584E1C" w:rsidRDefault="00F11F8E" w:rsidP="0003062E">
            <w:pPr>
              <w:rPr>
                <w:rFonts w:eastAsia="Calibri" w:cs="Arial"/>
                <w:sz w:val="20"/>
                <w:szCs w:val="20"/>
              </w:rPr>
            </w:pPr>
            <w:r>
              <w:rPr>
                <w:rFonts w:eastAsia="Calibri" w:cs="Arial"/>
                <w:sz w:val="20"/>
                <w:szCs w:val="20"/>
              </w:rPr>
              <w:t>T</w:t>
            </w:r>
            <w:r w:rsidRPr="00584E1C">
              <w:rPr>
                <w:rFonts w:eastAsia="Calibri" w:cs="Arial"/>
                <w:sz w:val="20"/>
                <w:szCs w:val="20"/>
              </w:rPr>
              <w:t>he</w:t>
            </w:r>
            <w:r>
              <w:rPr>
                <w:rFonts w:eastAsia="Calibri" w:cs="Arial"/>
                <w:sz w:val="20"/>
                <w:szCs w:val="20"/>
              </w:rPr>
              <w:t xml:space="preserve"> respondent notes that the</w:t>
            </w:r>
            <w:r w:rsidRPr="00584E1C">
              <w:rPr>
                <w:rFonts w:eastAsia="Calibri" w:cs="Arial"/>
                <w:sz w:val="20"/>
                <w:szCs w:val="20"/>
              </w:rPr>
              <w:t xml:space="preserve"> first part </w:t>
            </w:r>
            <w:proofErr w:type="gramStart"/>
            <w:r w:rsidRPr="00584E1C">
              <w:rPr>
                <w:rFonts w:eastAsia="Calibri" w:cs="Arial"/>
                <w:sz w:val="20"/>
                <w:szCs w:val="20"/>
              </w:rPr>
              <w:t>of  </w:t>
            </w:r>
            <w:proofErr w:type="spellStart"/>
            <w:r w:rsidRPr="00584E1C">
              <w:rPr>
                <w:rFonts w:eastAsia="Calibri" w:cs="Arial"/>
                <w:sz w:val="20"/>
                <w:szCs w:val="20"/>
              </w:rPr>
              <w:t>Risinghurst</w:t>
            </w:r>
            <w:proofErr w:type="spellEnd"/>
            <w:proofErr w:type="gramEnd"/>
            <w:r w:rsidRPr="00584E1C">
              <w:rPr>
                <w:rFonts w:eastAsia="Calibri" w:cs="Arial"/>
                <w:sz w:val="20"/>
                <w:szCs w:val="20"/>
              </w:rPr>
              <w:t xml:space="preserve"> built in the thirties </w:t>
            </w:r>
            <w:r>
              <w:rPr>
                <w:rFonts w:eastAsia="Calibri" w:cs="Arial"/>
                <w:sz w:val="20"/>
                <w:szCs w:val="20"/>
              </w:rPr>
              <w:t xml:space="preserve">is near to Quarry and also considers that Wood Farm and the old hamlet of </w:t>
            </w:r>
            <w:proofErr w:type="spellStart"/>
            <w:r>
              <w:rPr>
                <w:rFonts w:eastAsia="Calibri" w:cs="Arial"/>
                <w:sz w:val="20"/>
                <w:szCs w:val="20"/>
              </w:rPr>
              <w:t>Titup</w:t>
            </w:r>
            <w:proofErr w:type="spellEnd"/>
            <w:r>
              <w:rPr>
                <w:rFonts w:eastAsia="Calibri" w:cs="Arial"/>
                <w:sz w:val="20"/>
                <w:szCs w:val="20"/>
              </w:rPr>
              <w:t xml:space="preserve"> seem to be part of </w:t>
            </w:r>
            <w:proofErr w:type="spellStart"/>
            <w:r>
              <w:rPr>
                <w:rFonts w:eastAsia="Calibri" w:cs="Arial"/>
                <w:sz w:val="20"/>
                <w:szCs w:val="20"/>
              </w:rPr>
              <w:t>Headington</w:t>
            </w:r>
            <w:proofErr w:type="spellEnd"/>
            <w:r>
              <w:rPr>
                <w:rFonts w:eastAsia="Calibri" w:cs="Arial"/>
                <w:sz w:val="20"/>
                <w:szCs w:val="20"/>
              </w:rPr>
              <w:t xml:space="preserve">. </w:t>
            </w:r>
          </w:p>
          <w:p w:rsidR="00F11F8E" w:rsidRDefault="00F11F8E" w:rsidP="0003062E">
            <w:pPr>
              <w:rPr>
                <w:rFonts w:eastAsia="Calibri" w:cs="Arial"/>
                <w:sz w:val="20"/>
                <w:szCs w:val="20"/>
              </w:rPr>
            </w:pPr>
          </w:p>
          <w:p w:rsidR="00F11F8E" w:rsidRPr="00584E1C" w:rsidRDefault="00F11F8E" w:rsidP="0003062E">
            <w:pPr>
              <w:rPr>
                <w:rFonts w:eastAsia="Calibri" w:cs="Arial"/>
                <w:sz w:val="20"/>
                <w:szCs w:val="20"/>
              </w:rPr>
            </w:pPr>
            <w:r w:rsidRPr="00584E1C">
              <w:rPr>
                <w:rFonts w:eastAsia="Calibri" w:cs="Arial"/>
                <w:sz w:val="20"/>
                <w:szCs w:val="20"/>
              </w:rPr>
              <w:t xml:space="preserve"> </w:t>
            </w:r>
            <w:r>
              <w:rPr>
                <w:rFonts w:eastAsia="Calibri" w:cs="Arial"/>
                <w:sz w:val="20"/>
                <w:szCs w:val="20"/>
              </w:rPr>
              <w:t>However, the respondent also considers</w:t>
            </w:r>
            <w:r w:rsidRPr="00584E1C">
              <w:rPr>
                <w:rFonts w:eastAsia="Calibri" w:cs="Arial"/>
                <w:sz w:val="20"/>
                <w:szCs w:val="20"/>
              </w:rPr>
              <w:t xml:space="preserve"> the area beyond Osler Road bordered by the London and the Marston Road to be in Marston, partly because this is the catchment area for schools in Marston.  </w:t>
            </w:r>
          </w:p>
          <w:p w:rsidR="00F11F8E" w:rsidRPr="006171BF" w:rsidRDefault="00F11F8E" w:rsidP="0003062E">
            <w:pPr>
              <w:rPr>
                <w:rFonts w:eastAsia="Calibri" w:cs="Arial"/>
                <w:sz w:val="20"/>
                <w:szCs w:val="20"/>
              </w:rPr>
            </w:pPr>
            <w:r>
              <w:rPr>
                <w:rFonts w:eastAsia="Calibri" w:cs="Arial"/>
                <w:sz w:val="20"/>
                <w:szCs w:val="20"/>
              </w:rPr>
              <w:t> </w:t>
            </w:r>
          </w:p>
        </w:tc>
      </w:tr>
      <w:tr w:rsidR="00F11F8E" w:rsidRPr="00CF0693" w:rsidTr="0003062E">
        <w:tc>
          <w:tcPr>
            <w:tcW w:w="9242" w:type="dxa"/>
            <w:gridSpan w:val="2"/>
            <w:shd w:val="clear" w:color="auto" w:fill="auto"/>
          </w:tcPr>
          <w:p w:rsidR="00F11F8E" w:rsidRPr="003A0392" w:rsidRDefault="00F11F8E" w:rsidP="0003062E">
            <w:pPr>
              <w:rPr>
                <w:rFonts w:eastAsia="Calibri" w:cs="Arial"/>
                <w:b/>
                <w:sz w:val="20"/>
                <w:szCs w:val="20"/>
              </w:rPr>
            </w:pPr>
            <w:r w:rsidRPr="003A0392">
              <w:rPr>
                <w:rFonts w:eastAsia="Calibri" w:cs="Arial"/>
                <w:b/>
                <w:sz w:val="20"/>
                <w:szCs w:val="20"/>
                <w:lang w:eastAsia="en-GB"/>
              </w:rPr>
              <w:t>Objection to the area- area too large/ includes more than one community</w:t>
            </w:r>
          </w:p>
        </w:tc>
      </w:tr>
      <w:tr w:rsidR="00F11F8E" w:rsidRPr="00CF0693" w:rsidTr="0003062E">
        <w:tc>
          <w:tcPr>
            <w:tcW w:w="1668" w:type="dxa"/>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sidRPr="00CF0693">
              <w:rPr>
                <w:rFonts w:eastAsia="Calibri" w:cs="Arial"/>
                <w:sz w:val="20"/>
                <w:szCs w:val="20"/>
                <w:lang w:eastAsia="en-GB"/>
              </w:rPr>
              <w:t xml:space="preserve">Ella </w:t>
            </w:r>
            <w:proofErr w:type="spellStart"/>
            <w:r w:rsidRPr="00CF0693">
              <w:rPr>
                <w:rFonts w:eastAsia="Calibri" w:cs="Arial"/>
                <w:sz w:val="20"/>
                <w:szCs w:val="20"/>
                <w:lang w:eastAsia="en-GB"/>
              </w:rPr>
              <w:t>Derow</w:t>
            </w:r>
            <w:proofErr w:type="spellEnd"/>
          </w:p>
        </w:tc>
        <w:tc>
          <w:tcPr>
            <w:tcW w:w="7574" w:type="dxa"/>
            <w:shd w:val="clear" w:color="auto" w:fill="auto"/>
          </w:tcPr>
          <w:p w:rsidR="00F11F8E" w:rsidRPr="00584E1C" w:rsidRDefault="00F11F8E" w:rsidP="0003062E">
            <w:pPr>
              <w:rPr>
                <w:rFonts w:eastAsia="Calibri" w:cs="Arial"/>
                <w:sz w:val="20"/>
                <w:szCs w:val="20"/>
              </w:rPr>
            </w:pPr>
            <w:r w:rsidRPr="00584E1C">
              <w:rPr>
                <w:rFonts w:eastAsia="Calibri" w:cs="Arial"/>
                <w:sz w:val="20"/>
                <w:szCs w:val="20"/>
              </w:rPr>
              <w:t>A neighbourhood is much smaller than the boundaries that have been artific</w:t>
            </w:r>
            <w:r>
              <w:rPr>
                <w:rFonts w:eastAsia="Calibri" w:cs="Arial"/>
                <w:sz w:val="20"/>
                <w:szCs w:val="20"/>
              </w:rPr>
              <w:t>i</w:t>
            </w:r>
            <w:r w:rsidRPr="00584E1C">
              <w:rPr>
                <w:rFonts w:eastAsia="Calibri" w:cs="Arial"/>
                <w:sz w:val="20"/>
                <w:szCs w:val="20"/>
              </w:rPr>
              <w:t xml:space="preserve">ally developed. Many of my local concerns are different from &amp; sometimes antithetical to the opinions &amp; the needs of residents and institutions in </w:t>
            </w:r>
            <w:proofErr w:type="gramStart"/>
            <w:r w:rsidRPr="00584E1C">
              <w:rPr>
                <w:rFonts w:eastAsia="Calibri" w:cs="Arial"/>
                <w:sz w:val="20"/>
                <w:szCs w:val="20"/>
              </w:rPr>
              <w:t>different  parts</w:t>
            </w:r>
            <w:proofErr w:type="gramEnd"/>
            <w:r w:rsidRPr="00584E1C">
              <w:rPr>
                <w:rFonts w:eastAsia="Calibri" w:cs="Arial"/>
                <w:sz w:val="20"/>
                <w:szCs w:val="20"/>
              </w:rPr>
              <w:t xml:space="preserve"> of this space. As I understand it, many vested interests in any way bearing the slightest association with the name '</w:t>
            </w:r>
            <w:proofErr w:type="spellStart"/>
            <w:r w:rsidRPr="00584E1C">
              <w:rPr>
                <w:rFonts w:eastAsia="Calibri" w:cs="Arial"/>
                <w:sz w:val="20"/>
                <w:szCs w:val="20"/>
              </w:rPr>
              <w:t>Headington</w:t>
            </w:r>
            <w:proofErr w:type="spellEnd"/>
            <w:r w:rsidRPr="00584E1C">
              <w:rPr>
                <w:rFonts w:eastAsia="Calibri" w:cs="Arial"/>
                <w:sz w:val="20"/>
                <w:szCs w:val="20"/>
              </w:rPr>
              <w:t>' pressed for inclusion in the proposed area. A committee-developed spatial elephant has been put forward as a neighbourhood. </w:t>
            </w:r>
          </w:p>
          <w:p w:rsidR="00F11F8E" w:rsidRPr="00CF0693" w:rsidRDefault="00F11F8E" w:rsidP="0003062E">
            <w:pPr>
              <w:rPr>
                <w:rFonts w:eastAsia="Calibri" w:cs="Arial"/>
                <w:sz w:val="20"/>
                <w:szCs w:val="20"/>
              </w:rPr>
            </w:pPr>
          </w:p>
        </w:tc>
      </w:tr>
      <w:tr w:rsidR="00F11F8E" w:rsidRPr="00CF0693" w:rsidTr="0003062E">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F11F8E" w:rsidRPr="006171BF" w:rsidRDefault="00F11F8E" w:rsidP="0003062E">
            <w:pPr>
              <w:rPr>
                <w:rFonts w:eastAsia="Calibri" w:cs="Arial"/>
                <w:b/>
                <w:sz w:val="20"/>
                <w:szCs w:val="20"/>
              </w:rPr>
            </w:pPr>
            <w:r w:rsidRPr="006171BF">
              <w:rPr>
                <w:rFonts w:eastAsia="Calibri" w:cs="Arial"/>
                <w:b/>
                <w:sz w:val="20"/>
                <w:szCs w:val="20"/>
                <w:lang w:eastAsia="en-GB"/>
              </w:rPr>
              <w:t xml:space="preserve">Support for the </w:t>
            </w:r>
            <w:r>
              <w:rPr>
                <w:rFonts w:eastAsia="Calibri" w:cs="Arial"/>
                <w:b/>
                <w:sz w:val="20"/>
                <w:szCs w:val="20"/>
                <w:lang w:eastAsia="en-GB"/>
              </w:rPr>
              <w:t>proposed</w:t>
            </w:r>
            <w:r w:rsidRPr="006171BF">
              <w:rPr>
                <w:rFonts w:eastAsia="Calibri" w:cs="Arial"/>
                <w:b/>
                <w:sz w:val="20"/>
                <w:szCs w:val="20"/>
                <w:lang w:eastAsia="en-GB"/>
              </w:rPr>
              <w:t xml:space="preserve"> area </w:t>
            </w:r>
          </w:p>
        </w:tc>
      </w:tr>
      <w:tr w:rsidR="00F11F8E" w:rsidRPr="00CF0693" w:rsidTr="0003062E">
        <w:tc>
          <w:tcPr>
            <w:tcW w:w="1668" w:type="dxa"/>
            <w:tcBorders>
              <w:top w:val="single" w:sz="4" w:space="0" w:color="auto"/>
              <w:left w:val="single" w:sz="4" w:space="0" w:color="auto"/>
              <w:bottom w:val="single" w:sz="4" w:space="0" w:color="auto"/>
              <w:right w:val="single" w:sz="4" w:space="0" w:color="auto"/>
            </w:tcBorders>
            <w:shd w:val="clear" w:color="auto" w:fill="auto"/>
          </w:tcPr>
          <w:p w:rsidR="00F11F8E" w:rsidRPr="00CF0693" w:rsidRDefault="00F11F8E" w:rsidP="0003062E">
            <w:pPr>
              <w:spacing w:before="100" w:beforeAutospacing="1" w:after="100" w:afterAutospacing="1"/>
              <w:contextualSpacing/>
              <w:rPr>
                <w:rFonts w:eastAsia="Calibri" w:cs="Arial"/>
                <w:sz w:val="20"/>
                <w:szCs w:val="20"/>
              </w:rPr>
            </w:pPr>
            <w:r w:rsidRPr="00584E1C">
              <w:rPr>
                <w:rFonts w:eastAsia="Calibri" w:cs="Arial"/>
                <w:sz w:val="20"/>
                <w:szCs w:val="20"/>
              </w:rPr>
              <w:t>Oxford Brookes University Estates and Facilities Management</w:t>
            </w:r>
            <w:r>
              <w:rPr>
                <w:rFonts w:eastAsia="Calibri" w:cs="Arial"/>
                <w:sz w:val="20"/>
                <w:szCs w:val="20"/>
              </w:rPr>
              <w:t xml:space="preserve">; Cllr Roz Smith, 5 local residents, Friends of Old </w:t>
            </w:r>
            <w:proofErr w:type="spellStart"/>
            <w:r>
              <w:rPr>
                <w:rFonts w:eastAsia="Calibri" w:cs="Arial"/>
                <w:sz w:val="20"/>
                <w:szCs w:val="20"/>
              </w:rPr>
              <w:t>Headington</w:t>
            </w:r>
            <w:proofErr w:type="spellEnd"/>
            <w:r>
              <w:rPr>
                <w:rFonts w:eastAsia="Calibri" w:cs="Arial"/>
                <w:sz w:val="20"/>
                <w:szCs w:val="20"/>
              </w:rPr>
              <w:t xml:space="preserve">, </w:t>
            </w:r>
            <w:proofErr w:type="spellStart"/>
            <w:r>
              <w:rPr>
                <w:rFonts w:eastAsia="Calibri" w:cs="Arial"/>
                <w:sz w:val="20"/>
                <w:szCs w:val="20"/>
              </w:rPr>
              <w:t>Highfield</w:t>
            </w:r>
            <w:proofErr w:type="spellEnd"/>
            <w:r>
              <w:rPr>
                <w:rFonts w:eastAsia="Calibri" w:cs="Arial"/>
                <w:sz w:val="20"/>
                <w:szCs w:val="20"/>
              </w:rPr>
              <w:t xml:space="preserve"> Residents’ Association, </w:t>
            </w:r>
            <w:proofErr w:type="spellStart"/>
            <w:r>
              <w:rPr>
                <w:rFonts w:eastAsia="Calibri" w:cs="Arial"/>
                <w:sz w:val="20"/>
                <w:szCs w:val="20"/>
              </w:rPr>
              <w:lastRenderedPageBreak/>
              <w:t>Headington</w:t>
            </w:r>
            <w:proofErr w:type="spellEnd"/>
            <w:r>
              <w:rPr>
                <w:rFonts w:eastAsia="Calibri" w:cs="Arial"/>
                <w:sz w:val="20"/>
                <w:szCs w:val="20"/>
              </w:rPr>
              <w:t xml:space="preserve"> Action. </w:t>
            </w:r>
          </w:p>
        </w:tc>
        <w:tc>
          <w:tcPr>
            <w:tcW w:w="7574" w:type="dxa"/>
            <w:tcBorders>
              <w:top w:val="single" w:sz="4" w:space="0" w:color="auto"/>
              <w:left w:val="single" w:sz="4" w:space="0" w:color="auto"/>
              <w:bottom w:val="single" w:sz="4" w:space="0" w:color="auto"/>
              <w:right w:val="single" w:sz="4" w:space="0" w:color="auto"/>
            </w:tcBorders>
            <w:shd w:val="clear" w:color="auto" w:fill="auto"/>
          </w:tcPr>
          <w:p w:rsidR="00F11F8E" w:rsidRPr="00584E1C" w:rsidRDefault="00F11F8E" w:rsidP="0003062E">
            <w:pPr>
              <w:rPr>
                <w:rFonts w:eastAsia="Calibri" w:cs="Arial"/>
                <w:sz w:val="20"/>
                <w:szCs w:val="20"/>
              </w:rPr>
            </w:pPr>
            <w:r>
              <w:rPr>
                <w:rFonts w:eastAsia="Calibri" w:cs="Arial"/>
                <w:sz w:val="20"/>
                <w:szCs w:val="20"/>
              </w:rPr>
              <w:lastRenderedPageBreak/>
              <w:t xml:space="preserve">Several respondents were supportive of the proposed area. One specific reason for support included the inclusion of the Lye Valley North Fen area (rather than using the brook as a boundary and splitting the site). Another was that the proposed area reflected a community of residents and businesses who have worked well together in the past. It was acknowledged that complete agreement on the boundaries would be difficult to obtain, but thought that a good solution has been found. One respondent agreed that all the hospitals and Oxford Brookes needed to be included, meaning that the area would have to be large. The feeling was also expressed that the opportunity for residents to have a say in future development is needed. </w:t>
            </w:r>
            <w:proofErr w:type="spellStart"/>
            <w:r>
              <w:rPr>
                <w:rFonts w:eastAsia="Calibri" w:cs="Arial"/>
                <w:sz w:val="20"/>
                <w:szCs w:val="20"/>
              </w:rPr>
              <w:t>Headington</w:t>
            </w:r>
            <w:proofErr w:type="spellEnd"/>
            <w:r>
              <w:rPr>
                <w:rFonts w:eastAsia="Calibri" w:cs="Arial"/>
                <w:sz w:val="20"/>
                <w:szCs w:val="20"/>
              </w:rPr>
              <w:t xml:space="preserve"> Action and </w:t>
            </w:r>
            <w:proofErr w:type="spellStart"/>
            <w:r>
              <w:rPr>
                <w:rFonts w:eastAsia="Calibri" w:cs="Arial"/>
                <w:sz w:val="20"/>
                <w:szCs w:val="20"/>
              </w:rPr>
              <w:t>Highfield</w:t>
            </w:r>
            <w:proofErr w:type="spellEnd"/>
            <w:r>
              <w:rPr>
                <w:rFonts w:eastAsia="Calibri" w:cs="Arial"/>
                <w:sz w:val="20"/>
                <w:szCs w:val="20"/>
              </w:rPr>
              <w:t xml:space="preserve"> Residents’ Association both stated that they approve of the area including major institutions and local amenities and they feel it will provide a platform from which to strengthen </w:t>
            </w:r>
            <w:proofErr w:type="spellStart"/>
            <w:r>
              <w:rPr>
                <w:rFonts w:eastAsia="Calibri" w:cs="Arial"/>
                <w:sz w:val="20"/>
                <w:szCs w:val="20"/>
              </w:rPr>
              <w:t>Headintgon’s</w:t>
            </w:r>
            <w:proofErr w:type="spellEnd"/>
            <w:r>
              <w:rPr>
                <w:rFonts w:eastAsia="Calibri" w:cs="Arial"/>
                <w:sz w:val="20"/>
                <w:szCs w:val="20"/>
              </w:rPr>
              <w:t xml:space="preserve"> identity. </w:t>
            </w:r>
          </w:p>
          <w:p w:rsidR="00F11F8E" w:rsidRPr="00DD2120" w:rsidRDefault="00F11F8E" w:rsidP="0003062E">
            <w:pPr>
              <w:rPr>
                <w:rFonts w:eastAsia="Calibri" w:cs="Arial"/>
                <w:sz w:val="20"/>
                <w:szCs w:val="20"/>
              </w:rPr>
            </w:pPr>
          </w:p>
        </w:tc>
      </w:tr>
      <w:tr w:rsidR="00F11F8E" w:rsidRPr="00CF0693" w:rsidTr="0003062E">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F11F8E" w:rsidRPr="00584E1C" w:rsidRDefault="00F11F8E" w:rsidP="0003062E">
            <w:pPr>
              <w:rPr>
                <w:rFonts w:eastAsia="Calibri" w:cs="Arial"/>
                <w:sz w:val="20"/>
                <w:szCs w:val="20"/>
              </w:rPr>
            </w:pPr>
            <w:r w:rsidRPr="000C6CCE">
              <w:rPr>
                <w:rFonts w:eastAsia="Calibri" w:cs="Arial"/>
                <w:b/>
                <w:sz w:val="20"/>
                <w:szCs w:val="20"/>
                <w:lang w:eastAsia="en-GB"/>
              </w:rPr>
              <w:lastRenderedPageBreak/>
              <w:t>Other/general comments</w:t>
            </w:r>
          </w:p>
        </w:tc>
      </w:tr>
      <w:tr w:rsidR="00F11F8E" w:rsidRPr="00CF0693" w:rsidTr="0003062E">
        <w:tc>
          <w:tcPr>
            <w:tcW w:w="1668" w:type="dxa"/>
            <w:tcBorders>
              <w:top w:val="single" w:sz="4" w:space="0" w:color="auto"/>
              <w:left w:val="single" w:sz="4" w:space="0" w:color="auto"/>
              <w:bottom w:val="single" w:sz="4" w:space="0" w:color="auto"/>
              <w:right w:val="single" w:sz="4" w:space="0" w:color="auto"/>
            </w:tcBorders>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sidRPr="00CF0693">
              <w:rPr>
                <w:rFonts w:eastAsia="Calibri" w:cs="Arial"/>
                <w:sz w:val="20"/>
                <w:szCs w:val="20"/>
                <w:lang w:eastAsia="en-GB"/>
              </w:rPr>
              <w:t>Highways Agency</w:t>
            </w:r>
            <w:r>
              <w:rPr>
                <w:rFonts w:eastAsia="Calibri" w:cs="Arial"/>
                <w:sz w:val="20"/>
                <w:szCs w:val="20"/>
                <w:lang w:eastAsia="en-GB"/>
              </w:rPr>
              <w:t>;</w:t>
            </w:r>
            <w:r w:rsidRPr="00584E1C">
              <w:rPr>
                <w:rFonts w:eastAsia="Calibri" w:cs="Arial"/>
                <w:sz w:val="20"/>
                <w:szCs w:val="20"/>
              </w:rPr>
              <w:t xml:space="preserve"> The Coal Authority</w:t>
            </w:r>
            <w:r>
              <w:rPr>
                <w:rFonts w:eastAsia="Calibri" w:cs="Arial"/>
                <w:sz w:val="20"/>
                <w:szCs w:val="20"/>
              </w:rPr>
              <w:t xml:space="preserve">; </w:t>
            </w:r>
            <w:r>
              <w:rPr>
                <w:rFonts w:eastAsia="Calibri" w:cs="Arial"/>
                <w:sz w:val="20"/>
                <w:szCs w:val="20"/>
                <w:lang w:eastAsia="en-GB"/>
              </w:rPr>
              <w:t xml:space="preserve">Oxfordshire </w:t>
            </w:r>
            <w:r w:rsidRPr="00CF0693">
              <w:rPr>
                <w:rFonts w:eastAsia="Calibri" w:cs="Arial"/>
                <w:sz w:val="20"/>
                <w:szCs w:val="20"/>
                <w:lang w:eastAsia="en-GB"/>
              </w:rPr>
              <w:t>County Council</w:t>
            </w:r>
            <w:r>
              <w:rPr>
                <w:rFonts w:eastAsia="Calibri" w:cs="Arial"/>
                <w:sz w:val="20"/>
                <w:szCs w:val="20"/>
                <w:lang w:eastAsia="en-GB"/>
              </w:rPr>
              <w:t>;</w:t>
            </w:r>
            <w:r w:rsidRPr="00584E1C">
              <w:rPr>
                <w:rFonts w:eastAsia="Calibri" w:cs="Arial"/>
                <w:color w:val="1F497D"/>
                <w:sz w:val="20"/>
                <w:szCs w:val="20"/>
              </w:rPr>
              <w:t xml:space="preserve"> </w:t>
            </w:r>
            <w:r w:rsidRPr="002E47B2">
              <w:rPr>
                <w:rFonts w:eastAsia="Calibri" w:cs="Arial"/>
                <w:sz w:val="20"/>
                <w:szCs w:val="20"/>
              </w:rPr>
              <w:t>Natural England; English Heritage</w:t>
            </w:r>
          </w:p>
        </w:tc>
        <w:tc>
          <w:tcPr>
            <w:tcW w:w="7574" w:type="dxa"/>
            <w:tcBorders>
              <w:top w:val="single" w:sz="4" w:space="0" w:color="auto"/>
              <w:left w:val="single" w:sz="4" w:space="0" w:color="auto"/>
              <w:bottom w:val="single" w:sz="4" w:space="0" w:color="auto"/>
              <w:right w:val="single" w:sz="4" w:space="0" w:color="auto"/>
            </w:tcBorders>
            <w:shd w:val="clear" w:color="auto" w:fill="auto"/>
          </w:tcPr>
          <w:p w:rsidR="00F11F8E" w:rsidRPr="00584E1C" w:rsidRDefault="00F11F8E" w:rsidP="0003062E">
            <w:pPr>
              <w:rPr>
                <w:rFonts w:eastAsia="Calibri" w:cs="Arial"/>
                <w:sz w:val="20"/>
                <w:szCs w:val="20"/>
              </w:rPr>
            </w:pPr>
            <w:r>
              <w:rPr>
                <w:rFonts w:eastAsia="Calibri" w:cs="Arial"/>
                <w:sz w:val="20"/>
                <w:szCs w:val="20"/>
              </w:rPr>
              <w:t xml:space="preserve">All these </w:t>
            </w:r>
            <w:proofErr w:type="spellStart"/>
            <w:r>
              <w:rPr>
                <w:rFonts w:eastAsia="Calibri" w:cs="Arial"/>
                <w:sz w:val="20"/>
                <w:szCs w:val="20"/>
              </w:rPr>
              <w:t>consultees</w:t>
            </w:r>
            <w:proofErr w:type="spellEnd"/>
            <w:r>
              <w:rPr>
                <w:rFonts w:eastAsia="Calibri" w:cs="Arial"/>
                <w:sz w:val="20"/>
                <w:szCs w:val="20"/>
              </w:rPr>
              <w:t xml:space="preserve"> responded to confirm that they had</w:t>
            </w:r>
            <w:r w:rsidRPr="00DD2120">
              <w:rPr>
                <w:rFonts w:eastAsia="Calibri" w:cs="Arial"/>
                <w:sz w:val="20"/>
                <w:szCs w:val="20"/>
              </w:rPr>
              <w:t xml:space="preserve"> reviewed the consultation </w:t>
            </w:r>
            <w:r>
              <w:rPr>
                <w:rFonts w:eastAsia="Calibri" w:cs="Arial"/>
                <w:sz w:val="20"/>
                <w:szCs w:val="20"/>
              </w:rPr>
              <w:t>but</w:t>
            </w:r>
            <w:r w:rsidRPr="00DD2120">
              <w:rPr>
                <w:rFonts w:eastAsia="Calibri" w:cs="Arial"/>
                <w:sz w:val="20"/>
                <w:szCs w:val="20"/>
              </w:rPr>
              <w:t xml:space="preserve"> do not have any comment</w:t>
            </w:r>
            <w:r>
              <w:rPr>
                <w:rFonts w:eastAsia="Calibri" w:cs="Arial"/>
                <w:sz w:val="20"/>
                <w:szCs w:val="20"/>
              </w:rPr>
              <w:t xml:space="preserve">s to make at this stage. </w:t>
            </w:r>
          </w:p>
          <w:p w:rsidR="00F11F8E" w:rsidRPr="00CF0693" w:rsidRDefault="00F11F8E" w:rsidP="0003062E">
            <w:pPr>
              <w:rPr>
                <w:rFonts w:eastAsia="Calibri" w:cs="Arial"/>
                <w:sz w:val="20"/>
                <w:szCs w:val="20"/>
              </w:rPr>
            </w:pPr>
          </w:p>
        </w:tc>
      </w:tr>
      <w:tr w:rsidR="00F11F8E" w:rsidRPr="00CF0693" w:rsidTr="0003062E">
        <w:tc>
          <w:tcPr>
            <w:tcW w:w="1668" w:type="dxa"/>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Local resident</w:t>
            </w:r>
          </w:p>
        </w:tc>
        <w:tc>
          <w:tcPr>
            <w:tcW w:w="7574" w:type="dxa"/>
            <w:shd w:val="clear" w:color="auto" w:fill="auto"/>
          </w:tcPr>
          <w:p w:rsidR="00F11F8E" w:rsidRDefault="00F11F8E" w:rsidP="0003062E">
            <w:pPr>
              <w:rPr>
                <w:rFonts w:eastAsia="Calibri" w:cs="Arial"/>
                <w:sz w:val="20"/>
                <w:szCs w:val="20"/>
              </w:rPr>
            </w:pPr>
            <w:r>
              <w:rPr>
                <w:rFonts w:eastAsia="Calibri" w:cs="Arial"/>
                <w:sz w:val="20"/>
                <w:szCs w:val="20"/>
              </w:rPr>
              <w:t xml:space="preserve">Request for information about whether certain streets are included or excluded from the plan, as they found the map too faint to read. </w:t>
            </w:r>
          </w:p>
          <w:p w:rsidR="00F11F8E" w:rsidRPr="00EF00DC" w:rsidRDefault="00F11F8E" w:rsidP="0003062E">
            <w:pPr>
              <w:rPr>
                <w:rFonts w:eastAsia="Calibri" w:cs="Arial"/>
                <w:sz w:val="20"/>
                <w:szCs w:val="20"/>
              </w:rPr>
            </w:pPr>
          </w:p>
        </w:tc>
      </w:tr>
      <w:tr w:rsidR="00F11F8E" w:rsidRPr="00CF0693" w:rsidTr="0003062E">
        <w:tc>
          <w:tcPr>
            <w:tcW w:w="1668" w:type="dxa"/>
            <w:shd w:val="clear" w:color="auto" w:fill="auto"/>
          </w:tcPr>
          <w:p w:rsidR="00F11F8E" w:rsidRPr="00CF0693" w:rsidRDefault="00F11F8E" w:rsidP="0003062E">
            <w:pPr>
              <w:spacing w:before="100" w:beforeAutospacing="1" w:after="100" w:afterAutospacing="1"/>
              <w:rPr>
                <w:rFonts w:eastAsia="Calibri" w:cs="Arial"/>
                <w:sz w:val="20"/>
                <w:szCs w:val="20"/>
                <w:lang w:eastAsia="en-GB"/>
              </w:rPr>
            </w:pPr>
            <w:r>
              <w:rPr>
                <w:rFonts w:eastAsia="Calibri" w:cs="Arial"/>
                <w:sz w:val="20"/>
                <w:szCs w:val="20"/>
                <w:lang w:eastAsia="en-GB"/>
              </w:rPr>
              <w:t>local resident (part of a larger comment summarised elsewhere in the table)</w:t>
            </w:r>
          </w:p>
        </w:tc>
        <w:tc>
          <w:tcPr>
            <w:tcW w:w="7574" w:type="dxa"/>
            <w:shd w:val="clear" w:color="auto" w:fill="auto"/>
          </w:tcPr>
          <w:p w:rsidR="00F11F8E" w:rsidRDefault="00F11F8E" w:rsidP="0003062E">
            <w:pPr>
              <w:rPr>
                <w:rFonts w:eastAsia="Calibri" w:cs="Arial"/>
                <w:sz w:val="20"/>
                <w:szCs w:val="20"/>
              </w:rPr>
            </w:pPr>
            <w:r>
              <w:rPr>
                <w:rFonts w:eastAsia="Calibri" w:cs="Arial"/>
                <w:sz w:val="20"/>
                <w:szCs w:val="20"/>
              </w:rPr>
              <w:t>The respondent agrees that all of the groups listed</w:t>
            </w:r>
            <w:r w:rsidRPr="00584E1C">
              <w:rPr>
                <w:rFonts w:eastAsia="Calibri" w:cs="Arial"/>
                <w:sz w:val="20"/>
                <w:szCs w:val="20"/>
              </w:rPr>
              <w:t xml:space="preserve"> have an interest in </w:t>
            </w:r>
            <w:proofErr w:type="spellStart"/>
            <w:r w:rsidRPr="00584E1C">
              <w:rPr>
                <w:rFonts w:eastAsia="Calibri" w:cs="Arial"/>
                <w:sz w:val="20"/>
                <w:szCs w:val="20"/>
              </w:rPr>
              <w:t>Headington's</w:t>
            </w:r>
            <w:proofErr w:type="spellEnd"/>
            <w:r w:rsidRPr="00584E1C">
              <w:rPr>
                <w:rFonts w:eastAsia="Calibri" w:cs="Arial"/>
                <w:sz w:val="20"/>
                <w:szCs w:val="20"/>
              </w:rPr>
              <w:t xml:space="preserve"> development</w:t>
            </w:r>
            <w:r>
              <w:rPr>
                <w:rFonts w:eastAsia="Calibri" w:cs="Arial"/>
                <w:sz w:val="20"/>
                <w:szCs w:val="20"/>
              </w:rPr>
              <w:t xml:space="preserve">, including </w:t>
            </w:r>
            <w:r w:rsidRPr="00584E1C">
              <w:rPr>
                <w:rFonts w:eastAsia="Calibri" w:cs="Arial"/>
                <w:sz w:val="20"/>
                <w:szCs w:val="20"/>
              </w:rPr>
              <w:t>the Universities and hospitals</w:t>
            </w:r>
            <w:r>
              <w:rPr>
                <w:rFonts w:eastAsia="Calibri" w:cs="Arial"/>
                <w:sz w:val="20"/>
                <w:szCs w:val="20"/>
              </w:rPr>
              <w:t xml:space="preserve">. They felt that </w:t>
            </w:r>
            <w:r w:rsidRPr="00584E1C">
              <w:rPr>
                <w:rFonts w:eastAsia="Calibri" w:cs="Arial"/>
                <w:sz w:val="20"/>
                <w:szCs w:val="20"/>
              </w:rPr>
              <w:t xml:space="preserve">elected local city and county councillors to represent local residents and </w:t>
            </w:r>
            <w:r>
              <w:rPr>
                <w:rFonts w:eastAsia="Calibri" w:cs="Arial"/>
                <w:sz w:val="20"/>
                <w:szCs w:val="20"/>
              </w:rPr>
              <w:t>should</w:t>
            </w:r>
            <w:r w:rsidRPr="00584E1C">
              <w:rPr>
                <w:rFonts w:eastAsia="Calibri" w:cs="Arial"/>
                <w:sz w:val="20"/>
                <w:szCs w:val="20"/>
              </w:rPr>
              <w:t xml:space="preserve"> make decisions on their behalf. The univer</w:t>
            </w:r>
            <w:bookmarkStart w:id="0" w:name="_GoBack"/>
            <w:bookmarkEnd w:id="0"/>
            <w:r w:rsidRPr="00584E1C">
              <w:rPr>
                <w:rFonts w:eastAsia="Calibri" w:cs="Arial"/>
                <w:sz w:val="20"/>
                <w:szCs w:val="20"/>
              </w:rPr>
              <w:t xml:space="preserve">sity and the hospitals do employ many local people and provide many benefits to the area but </w:t>
            </w:r>
            <w:r>
              <w:rPr>
                <w:rFonts w:eastAsia="Calibri" w:cs="Arial"/>
                <w:sz w:val="20"/>
                <w:szCs w:val="20"/>
              </w:rPr>
              <w:t>the respondent feels</w:t>
            </w:r>
            <w:r w:rsidRPr="00584E1C">
              <w:rPr>
                <w:rFonts w:eastAsia="Calibri" w:cs="Arial"/>
                <w:sz w:val="20"/>
                <w:szCs w:val="20"/>
              </w:rPr>
              <w:t xml:space="preserve"> many pe</w:t>
            </w:r>
            <w:r>
              <w:rPr>
                <w:rFonts w:eastAsia="Calibri" w:cs="Arial"/>
                <w:sz w:val="20"/>
                <w:szCs w:val="20"/>
              </w:rPr>
              <w:t xml:space="preserve">ople’s </w:t>
            </w:r>
            <w:r w:rsidRPr="00584E1C">
              <w:rPr>
                <w:rFonts w:eastAsia="Calibri" w:cs="Arial"/>
                <w:sz w:val="20"/>
                <w:szCs w:val="20"/>
              </w:rPr>
              <w:t>views towards them are ambig</w:t>
            </w:r>
            <w:r>
              <w:rPr>
                <w:rFonts w:eastAsia="Calibri" w:cs="Arial"/>
                <w:sz w:val="20"/>
                <w:szCs w:val="20"/>
              </w:rPr>
              <w:t>u</w:t>
            </w:r>
            <w:r w:rsidRPr="00584E1C">
              <w:rPr>
                <w:rFonts w:eastAsia="Calibri" w:cs="Arial"/>
                <w:sz w:val="20"/>
                <w:szCs w:val="20"/>
              </w:rPr>
              <w:t>ous because of the extra traffic, demands on local housing and parking problems that they bring to the area.</w:t>
            </w:r>
          </w:p>
          <w:p w:rsidR="00F11F8E" w:rsidRPr="00CF0693" w:rsidRDefault="00F11F8E" w:rsidP="0003062E">
            <w:pPr>
              <w:rPr>
                <w:rFonts w:eastAsia="Calibri" w:cs="Arial"/>
                <w:sz w:val="20"/>
                <w:szCs w:val="20"/>
              </w:rPr>
            </w:pPr>
          </w:p>
        </w:tc>
      </w:tr>
    </w:tbl>
    <w:p w:rsidR="00F11F8E" w:rsidRDefault="00F11F8E" w:rsidP="00F11F8E"/>
    <w:p w:rsidR="00D75A8B" w:rsidRDefault="00D75A8B"/>
    <w:sectPr w:rsidR="00D75A8B" w:rsidSect="00F11F8E">
      <w:headerReference w:type="default" r:id="rId7"/>
      <w:pgSz w:w="11906" w:h="16838"/>
      <w:pgMar w:top="1217"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8E" w:rsidRDefault="00F11F8E" w:rsidP="00F11F8E">
      <w:r>
        <w:separator/>
      </w:r>
    </w:p>
  </w:endnote>
  <w:endnote w:type="continuationSeparator" w:id="0">
    <w:p w:rsidR="00F11F8E" w:rsidRDefault="00F11F8E" w:rsidP="00F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8E" w:rsidRDefault="00F11F8E" w:rsidP="00F11F8E">
      <w:r>
        <w:separator/>
      </w:r>
    </w:p>
  </w:footnote>
  <w:footnote w:type="continuationSeparator" w:id="0">
    <w:p w:rsidR="00F11F8E" w:rsidRDefault="00F11F8E" w:rsidP="00F1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8E" w:rsidRPr="00F11F8E" w:rsidRDefault="00F11F8E" w:rsidP="00F11F8E">
    <w:pPr>
      <w:pStyle w:val="Header"/>
      <w:jc w:val="right"/>
      <w:rPr>
        <w:b/>
      </w:rPr>
    </w:pPr>
    <w:r w:rsidRPr="00F11F8E">
      <w:rPr>
        <w:b/>
      </w:rPr>
      <w:t xml:space="preserve">Appendix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8E"/>
    <w:rsid w:val="00D75A8B"/>
    <w:rsid w:val="00F1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F8E"/>
    <w:pPr>
      <w:tabs>
        <w:tab w:val="center" w:pos="4513"/>
        <w:tab w:val="right" w:pos="9026"/>
      </w:tabs>
    </w:pPr>
  </w:style>
  <w:style w:type="character" w:customStyle="1" w:styleId="HeaderChar">
    <w:name w:val="Header Char"/>
    <w:basedOn w:val="DefaultParagraphFont"/>
    <w:link w:val="Header"/>
    <w:uiPriority w:val="99"/>
    <w:rsid w:val="00F11F8E"/>
    <w:rPr>
      <w:rFonts w:ascii="Arial" w:eastAsia="Times New Roman" w:hAnsi="Arial" w:cs="Times New Roman"/>
      <w:sz w:val="24"/>
      <w:szCs w:val="24"/>
    </w:rPr>
  </w:style>
  <w:style w:type="paragraph" w:styleId="Footer">
    <w:name w:val="footer"/>
    <w:basedOn w:val="Normal"/>
    <w:link w:val="FooterChar"/>
    <w:uiPriority w:val="99"/>
    <w:unhideWhenUsed/>
    <w:rsid w:val="00F11F8E"/>
    <w:pPr>
      <w:tabs>
        <w:tab w:val="center" w:pos="4513"/>
        <w:tab w:val="right" w:pos="9026"/>
      </w:tabs>
    </w:pPr>
  </w:style>
  <w:style w:type="character" w:customStyle="1" w:styleId="FooterChar">
    <w:name w:val="Footer Char"/>
    <w:basedOn w:val="DefaultParagraphFont"/>
    <w:link w:val="Footer"/>
    <w:uiPriority w:val="99"/>
    <w:rsid w:val="00F11F8E"/>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F8E"/>
    <w:pPr>
      <w:tabs>
        <w:tab w:val="center" w:pos="4513"/>
        <w:tab w:val="right" w:pos="9026"/>
      </w:tabs>
    </w:pPr>
  </w:style>
  <w:style w:type="character" w:customStyle="1" w:styleId="HeaderChar">
    <w:name w:val="Header Char"/>
    <w:basedOn w:val="DefaultParagraphFont"/>
    <w:link w:val="Header"/>
    <w:uiPriority w:val="99"/>
    <w:rsid w:val="00F11F8E"/>
    <w:rPr>
      <w:rFonts w:ascii="Arial" w:eastAsia="Times New Roman" w:hAnsi="Arial" w:cs="Times New Roman"/>
      <w:sz w:val="24"/>
      <w:szCs w:val="24"/>
    </w:rPr>
  </w:style>
  <w:style w:type="paragraph" w:styleId="Footer">
    <w:name w:val="footer"/>
    <w:basedOn w:val="Normal"/>
    <w:link w:val="FooterChar"/>
    <w:uiPriority w:val="99"/>
    <w:unhideWhenUsed/>
    <w:rsid w:val="00F11F8E"/>
    <w:pPr>
      <w:tabs>
        <w:tab w:val="center" w:pos="4513"/>
        <w:tab w:val="right" w:pos="9026"/>
      </w:tabs>
    </w:pPr>
  </w:style>
  <w:style w:type="character" w:customStyle="1" w:styleId="FooterChar">
    <w:name w:val="Footer Char"/>
    <w:basedOn w:val="DefaultParagraphFont"/>
    <w:link w:val="Footer"/>
    <w:uiPriority w:val="99"/>
    <w:rsid w:val="00F11F8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A45F9D69.dotm</Template>
  <TotalTime>2</TotalTime>
  <Pages>2</Pages>
  <Words>746</Words>
  <Characters>4253</Characters>
  <Application>Microsoft Office Word</Application>
  <DocSecurity>0</DocSecurity>
  <Lines>35</Lines>
  <Paragraphs>9</Paragraphs>
  <ScaleCrop>false</ScaleCrop>
  <Company>Oxford City Council</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2014-04-11T09:15:00Z</dcterms:created>
  <dcterms:modified xsi:type="dcterms:W3CDTF">2014-04-11T09:17:00Z</dcterms:modified>
</cp:coreProperties>
</file>

<file path=docProps/custom.xml><?xml version="1.0" encoding="utf-8"?>
<op:Properties xmlns:op="http://schemas.openxmlformats.org/officeDocument/2006/custom-properties"/>
</file>